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\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4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 Slab Black" w:cs="Roboto Slab Black" w:eastAsia="Roboto Slab Black" w:hAnsi="Roboto Slab Black"/>
          <w:sz w:val="36"/>
          <w:szCs w:val="36"/>
        </w:rPr>
      </w:pPr>
      <w:r w:rsidDel="00000000" w:rsidR="00000000" w:rsidRPr="00000000">
        <w:rPr>
          <w:rFonts w:ascii="Roboto Slab Black" w:cs="Roboto Slab Black" w:eastAsia="Roboto Slab Black" w:hAnsi="Roboto Slab Black"/>
          <w:sz w:val="36"/>
          <w:szCs w:val="36"/>
          <w:rtl w:val="0"/>
        </w:rPr>
        <w:t xml:space="preserve">ALES FRIEND(S) OF THE FACULTY AWARD</w:t>
      </w:r>
    </w:p>
    <w:p w:rsidR="00000000" w:rsidDel="00000000" w:rsidP="00000000" w:rsidRDefault="00000000" w:rsidRPr="00000000" w14:paraId="00000005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Description 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This award is given to recognize the efforts of groups or individuals external to ALES who have significantly contributed to the work of the Faculty. 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Eligibility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Nominees for the Friends of the Faculty Award may be groups or individuals NOT employed by the Faculty of ALES.  They may be volunteers, or other external partners.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Previous nominations can be resubmitted, but previous winners of the award are excluded from further competition.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Nominators should consider the equity, diversity, and inclusivity elements of the University of Alberta’s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Strategic Plan for Equity, Diversity, and Inclusivity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and the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Dimensions Charter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when developing nominations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General Criteria and Guidelines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Each department and/or the Faculty of Agricultural, Life &amp; Environmental Sciences administration team can nominate any deserving individual or group.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There are no fixed criteria for this award, since the types of service that may be recognized are so diverse.  The nomination package should include: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indication of strong support by the Chair or Dean of the unit making the nomination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clear description of the contribution rendered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evidence that this engagement is effective and valued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description of the nominee’s contribution to and impacts on equity, diversity, and inclusivity outside of the scholarly community and/or within the scholarly community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letters of support from staff, students, colleagues or the community, as appropriate. 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There is no set format for the nomination, but it must not be greater than 10 pages in length including all letters of support.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84"/>
        <w:jc w:val="both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Adjudication</w:t>
      </w:r>
    </w:p>
    <w:p w:rsidR="00000000" w:rsidDel="00000000" w:rsidP="00000000" w:rsidRDefault="00000000" w:rsidRPr="00000000" w14:paraId="0000001C">
      <w:pPr>
        <w:spacing w:line="240" w:lineRule="auto"/>
        <w:ind w:left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This award will be adjudicated by the ALES Awards Committee.</w:t>
      </w:r>
    </w:p>
    <w:p w:rsidR="00000000" w:rsidDel="00000000" w:rsidP="00000000" w:rsidRDefault="00000000" w:rsidRPr="00000000" w14:paraId="0000001E">
      <w:pPr>
        <w:spacing w:line="240" w:lineRule="auto"/>
        <w:ind w:left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4"/>
        <w:jc w:val="both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Application Deadline</w:t>
      </w:r>
    </w:p>
    <w:p w:rsidR="00000000" w:rsidDel="00000000" w:rsidP="00000000" w:rsidRDefault="00000000" w:rsidRPr="00000000" w14:paraId="00000020">
      <w:pPr>
        <w:spacing w:line="240" w:lineRule="auto"/>
        <w:ind w:left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Deadline for submission: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highlight w:val="yellow"/>
          <w:rtl w:val="0"/>
        </w:rPr>
        <w:t xml:space="preserve">November 12,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All nominations/applications are to be sent electronically to Rehana Bennett, </w:t>
      </w:r>
      <w:hyperlink r:id="rId6">
        <w:r w:rsidDel="00000000" w:rsidR="00000000" w:rsidRPr="00000000">
          <w:rPr>
            <w:rFonts w:ascii="Roboto Condensed" w:cs="Roboto Condensed" w:eastAsia="Roboto Condensed" w:hAnsi="Roboto Condensed"/>
            <w:color w:val="0000ff"/>
            <w:sz w:val="24"/>
            <w:szCs w:val="24"/>
            <w:u w:val="single"/>
            <w:rtl w:val="0"/>
          </w:rPr>
          <w:t xml:space="preserve">rrbennet@ualberta.ca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561.6" w:top="1367.9999999999998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 Slab Black">
    <w:embedBold w:fontKey="{00000000-0000-0000-0000-000000000000}" r:id="rId1" w:subsetted="0"/>
  </w:font>
  <w:font w:name="Roboto Condense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  <w:font w:name="Roboto Slab Medium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-681037</wp:posOffset>
          </wp:positionH>
          <wp:positionV relativeFrom="paragraph">
            <wp:posOffset>-447674</wp:posOffset>
          </wp:positionV>
          <wp:extent cx="7767205" cy="1643063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205" cy="1643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66675</wp:posOffset>
          </wp:positionV>
          <wp:extent cx="1548671" cy="552450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671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rrbennet@ualberta.ca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Black-bold.ttf"/><Relationship Id="rId2" Type="http://schemas.openxmlformats.org/officeDocument/2006/relationships/font" Target="fonts/RobotoCondensed-regular.ttf"/><Relationship Id="rId3" Type="http://schemas.openxmlformats.org/officeDocument/2006/relationships/font" Target="fonts/RobotoCondensed-bold.ttf"/><Relationship Id="rId4" Type="http://schemas.openxmlformats.org/officeDocument/2006/relationships/font" Target="fonts/RobotoCondensed-italic.ttf"/><Relationship Id="rId5" Type="http://schemas.openxmlformats.org/officeDocument/2006/relationships/font" Target="fonts/RobotoCondensed-boldItalic.ttf"/><Relationship Id="rId6" Type="http://schemas.openxmlformats.org/officeDocument/2006/relationships/font" Target="fonts/RobotoSlabMedium-regular.ttf"/><Relationship Id="rId7" Type="http://schemas.openxmlformats.org/officeDocument/2006/relationships/font" Target="fonts/RobotoSlab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Relationship Id="rId3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